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C" w:rsidRDefault="00C7724C" w:rsidP="00C7724C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A1A1A"/>
          <w:spacing w:val="-2"/>
          <w:kern w:val="36"/>
          <w:lang w:eastAsia="ru-RU"/>
        </w:rPr>
      </w:pPr>
      <w:r w:rsidRPr="00C7724C">
        <w:rPr>
          <w:rFonts w:ascii="Arial" w:eastAsia="Times New Roman" w:hAnsi="Arial" w:cs="Arial"/>
          <w:b/>
          <w:bCs/>
          <w:color w:val="1A1A1A"/>
          <w:spacing w:val="-2"/>
          <w:kern w:val="36"/>
          <w:lang w:eastAsia="ru-RU"/>
        </w:rPr>
        <w:t xml:space="preserve">Задание 2 ЕГЭ по русскому языку 2021. Теория и практика. </w:t>
      </w:r>
    </w:p>
    <w:p w:rsidR="00C7724C" w:rsidRPr="00C7724C" w:rsidRDefault="00C7724C" w:rsidP="00C7724C">
      <w:pPr>
        <w:shd w:val="clear" w:color="auto" w:fill="FFFFFF"/>
        <w:spacing w:after="192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A1A1A"/>
          <w:spacing w:val="-2"/>
          <w:kern w:val="36"/>
          <w:lang w:eastAsia="ru-RU"/>
        </w:rPr>
      </w:pPr>
      <w:r w:rsidRPr="00C7724C">
        <w:rPr>
          <w:rFonts w:ascii="Arial" w:eastAsia="Times New Roman" w:hAnsi="Arial" w:cs="Arial"/>
          <w:b/>
          <w:bCs/>
          <w:color w:val="1A1A1A"/>
          <w:spacing w:val="-2"/>
          <w:kern w:val="36"/>
          <w:lang w:eastAsia="ru-RU"/>
        </w:rPr>
        <w:t>Самостоятельно подберите союз, вводное слово, наречие, частицу.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5" w:anchor="hmenu-item-1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Формулировка задания из демоверсии ЕГЭ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D9EDF7"/>
        <w:spacing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«Самостоятельно подберите подчинительный союз, который должен стоять на месте пропуска в третьем (3) предложении текста. Запишите этот союз».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6" w:anchor="hmenu-item-2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Алгоритм выполнения: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D9EDF7"/>
        <w:spacing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1.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Внимательно прочитайте задание и необходимый отрезок текста/весь текст.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2.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Установите связь между предложением, в котором пропущено слово, и предыдущим предложением/ между предложением, в котором пропущено слово, и частью текста до этого предложения.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3.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 xml:space="preserve"> Обратите внимание на искомую часть речи: важно подобрать слово, которое будет соответствовать заявленной характеристике. Например, в задании может быть </w:t>
      </w:r>
      <w:proofErr w:type="gramStart"/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предложено</w:t>
      </w:r>
      <w:proofErr w:type="gramEnd"/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 xml:space="preserve"> найти частицу или </w:t>
      </w:r>
      <w:proofErr w:type="spellStart"/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ограничительно-выделительную</w:t>
      </w:r>
      <w:proofErr w:type="spellEnd"/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 xml:space="preserve"> частицу. Для успешного выполнения задания важно знать не только различия между словами различных частей речи, но и разряды слов.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7" w:anchor="hmenu-item-3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Теория к заданию 2 ЕГЭ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 тексте соединяются между собой не только соседние предложения, но и предложения, отделенные другими предложениями.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Между предложениями в тексте существуют различные смысловые отношения: предложения могут быть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сопоставлены, противопоставлены, содержание второго предложения может раскрывать смысл первого, пояснять его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и т.д.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предложений в тексте могут выступать лексические, синтаксические и морфологические средства, например, порядок слов, синонимы, антонимы, местоимения, союзы, синтаксический параллелизм и др.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8" w:anchor="hmenu-item-4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Средства связи, необходимые для выполнения 2 задания: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Союзы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Частицы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Местоимения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Наречия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Числительные (собирательные и порядковые)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Вводные слова и словосочетания</w:t>
      </w:r>
    </w:p>
    <w:p w:rsidR="00C7724C" w:rsidRPr="00C7724C" w:rsidRDefault="00C7724C" w:rsidP="00C7724C">
      <w:pPr>
        <w:numPr>
          <w:ilvl w:val="0"/>
          <w:numId w:val="2"/>
        </w:numPr>
        <w:shd w:val="clear" w:color="auto" w:fill="D9EDF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Предлоги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9" w:anchor="hmenu-item-5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Союзы. Определение. Разряды.</w:t>
      </w: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Союз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– служебная часть речи, которая соединяет между собой синтаксически однородные слова в простом предложении, а также целые предложения.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Союзы бывают: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1) Сочинительные и подчинительные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 xml:space="preserve">2) Простые (состоят из одного слова: но, а, однако) и составные (состоят из </w:t>
      </w:r>
      <w:proofErr w:type="spellStart"/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из</w:t>
      </w:r>
      <w:proofErr w:type="spellEnd"/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 xml:space="preserve"> двух или более слов: как…так и, не только…но и)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По своей структуре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составные союзы бывают: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1) повторяющиеся (состоят из двух одинаковых частей) – то ли…то ли, и…и, ни…ни.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 xml:space="preserve">2) двойные (состоят из двух неодинаковых частей) – не 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только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…но и, если не…то и т.д.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Сочинительные союзы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– союзы, связывающие однородные члены предложения и равноправные по смыслу простые предложения в составе сложного (сложносочиненного предложения).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Помимо соединения однородных членов и частей сложносочиненного предложения, сочинительные союзы могут связывать самостоятельные предложения в тексте/фрагменте текста.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Сочинительные союзы на границе предложений имеют значение, близкое к значению союзов, соединяющих части ССП.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tbl>
      <w:tblPr>
        <w:tblW w:w="10034" w:type="dxa"/>
        <w:tblCellMar>
          <w:left w:w="0" w:type="dxa"/>
          <w:right w:w="0" w:type="dxa"/>
        </w:tblCellMar>
        <w:tblLook w:val="04A0"/>
      </w:tblPr>
      <w:tblGrid>
        <w:gridCol w:w="4092"/>
        <w:gridCol w:w="5942"/>
      </w:tblGrid>
      <w:tr w:rsidR="00C7724C" w:rsidRPr="00C7724C" w:rsidTr="00C7724C">
        <w:tc>
          <w:tcPr>
            <w:tcW w:w="4078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Разряды сочинительных союзов:</w:t>
            </w:r>
          </w:p>
        </w:tc>
        <w:tc>
          <w:tcPr>
            <w:tcW w:w="5921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C7724C" w:rsidRPr="00C7724C" w:rsidTr="00C7724C">
        <w:tc>
          <w:tcPr>
            <w:tcW w:w="4078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да (= и), не только, … но и, также, тоже, и…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ни…ни, как,…так и; сколько..., столько и</w:t>
            </w:r>
          </w:p>
        </w:tc>
      </w:tr>
      <w:tr w:rsidR="00C7724C" w:rsidRPr="00C7724C" w:rsidTr="00C7724C">
        <w:tc>
          <w:tcPr>
            <w:tcW w:w="4078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или, или…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либо, либо…либо, то…то, то ли…то ли, не то…не то</w:t>
            </w:r>
          </w:p>
        </w:tc>
      </w:tr>
      <w:tr w:rsidR="00C7724C" w:rsidRPr="00C7724C" w:rsidTr="00C7724C">
        <w:tc>
          <w:tcPr>
            <w:tcW w:w="4078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Противительные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но, да (= но), зато, же, однако, однако же, все же</w:t>
            </w:r>
            <w:proofErr w:type="gramEnd"/>
          </w:p>
        </w:tc>
      </w:tr>
      <w:tr w:rsidR="00C7724C" w:rsidRPr="00C7724C" w:rsidTr="00C7724C">
        <w:tc>
          <w:tcPr>
            <w:tcW w:w="4078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Градационные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только…, но и; не то чтобы…а; не столько…сколько</w:t>
            </w:r>
          </w:p>
        </w:tc>
      </w:tr>
      <w:tr w:rsidR="00C7724C" w:rsidRPr="00C7724C" w:rsidTr="00C7724C">
        <w:tc>
          <w:tcPr>
            <w:tcW w:w="4078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Присоединительные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тоже, также, да и, притом, причем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именно, то есть, или (= то есть)</w:t>
            </w:r>
          </w:p>
        </w:tc>
      </w:tr>
    </w:tbl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Подчинительные союзы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– союзы, которые связывают простые предложения в сложном предложении (СПП).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Подчинительные союзы могут выступать 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между предложениями только в случае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парцелляции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(авторского членения текста)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Подчинительные союзы делятся на следующие группы:</w:t>
      </w:r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изъяснительные (что, чтобы, как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обстоятельственные</w:t>
      </w:r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времени (когда, лишь, едва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места (где, куда, откуда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...)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образа действия, меры, степени (столько, настолько, так, до такой степени, до того, такой, ... 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сравнения (как, как будто, словно, будто, точно, как бы)</w:t>
      </w:r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причины (так как, потому что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условия (если, если бы, коли, ежели, если … то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уступки (несмотря на то, что, хотя, хоть, пускай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цели (чтобы, дабы, с тем чтобы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…)</w:t>
      </w:r>
      <w:proofErr w:type="gramEnd"/>
    </w:p>
    <w:p w:rsidR="00C7724C" w:rsidRPr="00C7724C" w:rsidRDefault="00C7724C" w:rsidP="00C772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следствия (так что)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Разделение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 подчинительных союзов на группы </w:t>
      </w:r>
      <w:r w:rsidRPr="00C7724C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условно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, одни и те же союзы могут относиться к различным группам в зависимости от вопроса, который мы задаем от главного предложения к </w:t>
      </w:r>
      <w:proofErr w:type="gram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придаточному</w:t>
      </w:r>
      <w:proofErr w:type="gram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0" w:anchor="hmenu-item-6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Союзы как средства связи между предложениями.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Примеры: </w:t>
      </w:r>
    </w:p>
    <w:p w:rsidR="00C7724C" w:rsidRPr="00C7724C" w:rsidRDefault="00C7724C" w:rsidP="00C772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Шофер остановился в раздумье.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А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через минуту он уже спал за баранкой: долгая дорога его утомила. (В. Архангельский) </w:t>
      </w:r>
    </w:p>
    <w:p w:rsidR="00C7724C" w:rsidRPr="00C7724C" w:rsidRDefault="00C7724C" w:rsidP="00C772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Антон Иванович дремал, припав к моему плечу.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Но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когда с досады закричал шофер, он решил, что нужно действовать. (В. Архангельский) </w:t>
      </w:r>
    </w:p>
    <w:p w:rsidR="00C7724C" w:rsidRPr="00C7724C" w:rsidRDefault="00C7724C" w:rsidP="00C772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Чайную закрыли, и мы отправились на ночлег.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И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удивительно крепко спали на полу, в школе, на голых досках. (В. Архангельский) 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1" w:anchor="hmenu-item-7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Частицы. Определение. Разряды.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Частица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– служебная часть речи, выражает различные добавочные смысловые оттенки слов и предложений, а также употребляется для образования новых слов или аналитических форм самостоятельных слов.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Частицы бывают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формообразующие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(повелительное наклонение: пусть, пускай, давай, бы (б), да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*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, бывало; условное наклонение: более, менее, самый) и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смыслоразличительные (смысловые).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</w:t>
      </w:r>
      <w:proofErr w:type="gramEnd"/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*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Не путайте частицу "да" с союзом "да". Союз: старик да старуха (можно заменить на "и") Частица: Да здравствует солнце!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tbl>
      <w:tblPr>
        <w:tblW w:w="10034" w:type="dxa"/>
        <w:tblCellMar>
          <w:left w:w="0" w:type="dxa"/>
          <w:right w:w="0" w:type="dxa"/>
        </w:tblCellMar>
        <w:tblLook w:val="04A0"/>
      </w:tblPr>
      <w:tblGrid>
        <w:gridCol w:w="5017"/>
        <w:gridCol w:w="5017"/>
      </w:tblGrid>
      <w:tr w:rsidR="00C7724C" w:rsidRPr="00C7724C" w:rsidTr="00C7724C"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частиц: </w:t>
            </w:r>
          </w:p>
        </w:tc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не, ни, вовсе не, далеко не, отнюдь не, нет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вопросительные: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неужели, разве, ли (ль), что, что ли, как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вот, вон, это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уточняющие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именно, как раз, прямо, точно, точь-в-точь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ограничительно-выделительные</w:t>
            </w:r>
            <w:proofErr w:type="spellEnd"/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только, лишь, исключительно, почти, единственно, 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(я-то), всего, всего-навсего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восклицательные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за, ну и, как, куда как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даже, же, ни, ведь, уж, все-таки, ну, всё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значением сомнения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едва ли; вряд ли</w:t>
            </w:r>
          </w:p>
        </w:tc>
      </w:tr>
    </w:tbl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 xml:space="preserve">Среди частиц есть 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омонимичные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: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Например,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 ЭТО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может быть как частицей, так и местоимением.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ЧТО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может быть частицей, а может быть местоимением.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2" w:anchor="hmenu-item-8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Частицы как средства связи между предложениями.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Частицы соединяют предложение с одним из предыдущих или с группой предложений.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Примеры.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Ведь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(оттенок причины, причинно-следственные отношения, синоним союза потому что, так как).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Вот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(используется для введения иллюстрации, примеров)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Матери написал коротко. Это первая весточка из </w:t>
      </w:r>
      <w:proofErr w:type="spell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Минусинкого</w:t>
      </w:r>
      <w:proofErr w:type="spell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 округа.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Подробное письмо отправит из </w:t>
      </w:r>
      <w:proofErr w:type="spell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Шу-шу-шу</w:t>
      </w:r>
      <w:proofErr w:type="spell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. Ведь уже скоро он доберется до места своего «окончательного успокоения», 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как рассчитывает полиция и как в шутку говорит он сам о себе.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3" w:anchor="hmenu-item-9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Местоимения. Определение. Разряды. </w:t>
      </w: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Местоимение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– самостоятельная часть речи, которая содержит обобщающее указание на предметы и признаки, но не называет их. </w:t>
      </w:r>
    </w:p>
    <w:tbl>
      <w:tblPr>
        <w:tblW w:w="10034" w:type="dxa"/>
        <w:tblCellMar>
          <w:left w:w="0" w:type="dxa"/>
          <w:right w:w="0" w:type="dxa"/>
        </w:tblCellMar>
        <w:tblLook w:val="04A0"/>
      </w:tblPr>
      <w:tblGrid>
        <w:gridCol w:w="5017"/>
        <w:gridCol w:w="5017"/>
      </w:tblGrid>
      <w:tr w:rsidR="00C7724C" w:rsidRPr="00C7724C" w:rsidTr="00C7724C"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Разряды местоимений:</w:t>
            </w:r>
          </w:p>
        </w:tc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Примеры: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ты, он, она, оно, мы, вы, они — во всех падежах (тебя, к нему, ее, с нами и т.д.)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мой, твой, наш, ваш, его, ее, их — во всех падежах (моего, твоей и т.д.).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772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Притяжательные местоимения указывают на принадлежность предмета лицу или другому предмету. 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это, те, этот, таков, тот, столько, сей, оный и т.д.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Возвратное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кто, что, какой, каков, сколько, чей, чем, кому, кого и т.д.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 же, что и вопросительные, используются в качестве сре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 в сложноподчиненных предложениях)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сам, самый, весь, всякий, каждый, иной, любой, другой, всяк, всяческий и т.д.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некто, нечто, некоторый, некий, а также все местоимения, образованные от вопросительных местоимений приставкой ко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частицей не, которая превращается в приставку или суффиксами -то, -либо, -</w:t>
            </w:r>
            <w:proofErr w:type="spell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нибудь</w:t>
            </w:r>
            <w:proofErr w:type="spell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никто, ничто, никакой, ничей, ничего и т.д.</w:t>
            </w:r>
          </w:p>
        </w:tc>
      </w:tr>
    </w:tbl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!!!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Притяжательные местоимения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ее, его, их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совпадают по форме с личными местоимениями он, она, они в Р.п. и В.п.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Примеры: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Его куртка висела на вешалке. (Чья куртка?) – его. Это притяжательное местоимение.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Я хорошо понимаю его. (Понимаю кого?) – его. Это личное местоимение.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4" w:anchor="hmenu-item-10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Местоимения как средства связи предложений в тексте.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Среди средств связи самостоятельных предложений наиболее широко распространены личные местоимения (</w:t>
      </w:r>
      <w:r w:rsidRPr="00C7724C">
        <w:rPr>
          <w:rFonts w:ascii="Times New Roman" w:eastAsia="Times New Roman" w:hAnsi="Times New Roman" w:cs="Times New Roman"/>
          <w:b/>
          <w:bCs/>
          <w:color w:val="E25041"/>
          <w:spacing w:val="2"/>
          <w:sz w:val="20"/>
          <w:szCs w:val="20"/>
          <w:bdr w:val="none" w:sz="0" w:space="0" w:color="auto" w:frame="1"/>
          <w:lang w:eastAsia="ru-RU"/>
        </w:rPr>
        <w:t>он, она, оно, они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) и притяжательные местоимения (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его, ее, их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) в именительном или косвенных падежах. </w:t>
      </w:r>
      <w:proofErr w:type="gramEnd"/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(1)У сороки есть прозвище — белобока. (2) И правда, по бокам перышки </w:t>
      </w:r>
      <w:r w:rsidRPr="00C7724C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у неё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 совсем белые. (3) А вот головка, крылья и хвост чёрные, как у вороны. (4) Очень красив у сороки хвост — длинный, прямой, будто стрела. (5) И перья </w:t>
      </w:r>
      <w:r w:rsidRPr="00C7724C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на нём</w:t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 не просто чёрные, а с зеленоватым отливом. Нарядная птица сорока! (Г. </w:t>
      </w:r>
      <w:proofErr w:type="spell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Скребицкий</w:t>
      </w:r>
      <w:proofErr w:type="spell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)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Второе предложение соединено с первым при помощи местоимения в родительном падеже (у нее), а пятое связано с четвертым местоимением он в предложном падеже (на нем).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используются и другие местоимения. Одни из них связывают только конкретные предложения, другие могут относиться к большей части текста.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Указательное местоимение 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это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может соотноситься с любым именем независимо от его рода и числа.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Попугаи действительно похожи на генералов... И впрямь — это был </w:t>
      </w:r>
      <w:proofErr w:type="gram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чванливый</w:t>
      </w:r>
      <w:proofErr w:type="gram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 генералитет, траурное заседание военного совета, последняя выставка военных сюртуков, лампасов, эполетов, хохолков, доломанов, шпор, черных бородок </w:t>
      </w:r>
      <w:proofErr w:type="spell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буланже</w:t>
      </w:r>
      <w:proofErr w:type="spell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. Это был захваченный в плен штаб интервентов, зарвавшихся слишком далеко в чужую, враждебную, плохо изученную страну и обреченных на гибель. (В. П. Катаев)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Местоимение </w:t>
      </w:r>
      <w:proofErr w:type="gramStart"/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такой</w:t>
      </w:r>
      <w:proofErr w:type="gramEnd"/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 xml:space="preserve"> (такая, такое)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имеет дополнительное оценочное значение.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Определительное местоимение 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все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имеет такую же функцию, что и в простом предложении с однородными членами.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Великолепен чеховский степной пейзаж, создающий светлый колорит, могучую, свободную широту всего произведения.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Можно сказать, что Чехов поэтически открыл степь, явился первым художником, раскрывшим под кажущимся однообразием степного пейзажа целый мир красок и звуков. Собственные детские впечатления от поездок по донецкой степи помогли ему передать чистоту и свежесть детского восприятия мира, соединенную с мудрым взглядом художника.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Все наполнено в «Степи» молодостью, захватывающей новизной всех восприятий и чувств.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5" w:anchor="hmenu-item-11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Числительные. Общая информация.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могут быть использованы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порядковые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и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собирательные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числительные. </w:t>
      </w: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proofErr w:type="gramStart"/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Собирательные числительные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- это такие, которые обозначают количество предметов, как их совокупность (двое, трое, оба, четверо, пятеро, шестеро, семеро). </w:t>
      </w:r>
      <w:proofErr w:type="gramEnd"/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Порядковые числительные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- это числительные, которые называют порядковые номер предмета при их счете (пятый, десятый). 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6" w:anchor="hmenu-item-12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Числительные как средства связи.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  <w:t>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собирательные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числительные используются без существительного, которое они определяют в количественном значении.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Из собирательных числительных 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чаще других используются числительные 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оба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и 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двое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Накануне было вот что.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Запряг отец лошадь и, войдя в избу, сказал матери: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- Давай холсты, я поеду на станцию.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Сестра стирала рубахи, а мать возилась с шерстью.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- Не дам, - сказала она.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- Что ж, не </w:t>
      </w:r>
      <w:proofErr w:type="spell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жравши</w:t>
      </w:r>
      <w:proofErr w:type="spell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 будешь? - спросил отец</w:t>
      </w:r>
      <w:proofErr w:type="gram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.-- </w:t>
      </w:r>
      <w:proofErr w:type="gram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Я куплю муки на них.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Мать молчала.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Отец пошел в амбар, сбил топором замок с ящика и начал выбирать холсты, полотенца и сарафаны, складывая все в мешок и бросая на телегу.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- Мамка! - закричала сестра, посмотрев в окно. - Гляди-ка, он сундук разбил!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 xml:space="preserve">Обе с плачем выскочили на улицу и подбежали к амбару. Отец уже добирал </w:t>
      </w:r>
      <w:proofErr w:type="gramStart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последки</w:t>
      </w:r>
      <w:proofErr w:type="gramEnd"/>
      <w:r w:rsidRPr="00C7724C">
        <w:rPr>
          <w:rFonts w:ascii="Times New Roman" w:eastAsia="Times New Roman" w:hAnsi="Times New Roman" w:cs="Times New Roman"/>
          <w:i/>
          <w:i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. Ни просьбы, ни мольбы не помогли.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Здесь числительное </w:t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обе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относится к существительным мать и сестра.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 xml:space="preserve">Собирательные числительные 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от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 xml:space="preserve"> двое до семеро часто употребляются в сочетании с определительным местоимением – все трое, все шестеро, все пятеро и т.д.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7" w:anchor="hmenu-item-13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Наречия. Определение. Разряды. </w:t>
      </w:r>
    </w:p>
    <w:p w:rsidR="00C7724C" w:rsidRPr="00C7724C" w:rsidRDefault="00C7724C" w:rsidP="00C7724C">
      <w:pPr>
        <w:pBdr>
          <w:top w:val="single" w:sz="4" w:space="12" w:color="BCE8F1"/>
          <w:left w:val="single" w:sz="4" w:space="14" w:color="BCE8F1"/>
          <w:bottom w:val="single" w:sz="4" w:space="12" w:color="BCE8F1"/>
          <w:right w:val="single" w:sz="4" w:space="14" w:color="BCE8F1"/>
        </w:pBdr>
        <w:shd w:val="clear" w:color="auto" w:fill="D9ED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</w:pPr>
      <w:proofErr w:type="gramStart"/>
      <w:r w:rsidRPr="00C7724C">
        <w:rPr>
          <w:rFonts w:ascii="Times New Roman" w:eastAsia="Times New Roman" w:hAnsi="Times New Roman" w:cs="Times New Roman"/>
          <w:b/>
          <w:bCs/>
          <w:color w:val="31708F"/>
          <w:spacing w:val="2"/>
          <w:sz w:val="20"/>
          <w:szCs w:val="20"/>
          <w:bdr w:val="none" w:sz="0" w:space="0" w:color="auto" w:frame="1"/>
          <w:lang w:eastAsia="ru-RU"/>
        </w:rPr>
        <w:t>Наречие</w:t>
      </w:r>
      <w:r w:rsidRPr="00C7724C">
        <w:rPr>
          <w:rFonts w:ascii="Times New Roman" w:eastAsia="Times New Roman" w:hAnsi="Times New Roman" w:cs="Times New Roman"/>
          <w:color w:val="31708F"/>
          <w:spacing w:val="2"/>
          <w:sz w:val="20"/>
          <w:szCs w:val="20"/>
          <w:lang w:eastAsia="ru-RU"/>
        </w:rPr>
        <w:t> - неизменяемая самостоятельная часть речи, которая обозначает признак действия, признака и предмета, отвечает на вопросы где, как, куда, откуда, зачем, почему и т.д. </w:t>
      </w:r>
      <w:proofErr w:type="gramEnd"/>
    </w:p>
    <w:tbl>
      <w:tblPr>
        <w:tblW w:w="10034" w:type="dxa"/>
        <w:tblCellMar>
          <w:left w:w="0" w:type="dxa"/>
          <w:right w:w="0" w:type="dxa"/>
        </w:tblCellMar>
        <w:tblLook w:val="04A0"/>
      </w:tblPr>
      <w:tblGrid>
        <w:gridCol w:w="5011"/>
        <w:gridCol w:w="5023"/>
      </w:tblGrid>
      <w:tr w:rsidR="00C7724C" w:rsidRPr="00C7724C" w:rsidTr="00C7724C">
        <w:tc>
          <w:tcPr>
            <w:tcW w:w="5000" w:type="dxa"/>
            <w:shd w:val="clear" w:color="auto" w:fill="FFFFF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наречий</w:t>
            </w:r>
          </w:p>
        </w:tc>
        <w:tc>
          <w:tcPr>
            <w:tcW w:w="5000" w:type="dxa"/>
            <w:shd w:val="clear" w:color="auto" w:fill="FFFFF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</w:p>
        </w:tc>
      </w:tr>
      <w:tr w:rsidR="00C7724C" w:rsidRPr="00C7724C" w:rsidTr="00C7724C">
        <w:tc>
          <w:tcPr>
            <w:tcW w:w="10011" w:type="dxa"/>
            <w:gridSpan w:val="2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функции: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Знаменательные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признаки действий или других признаков (громко, далеко, по-летнему)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Местоименные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так, тогда</w:t>
            </w:r>
          </w:p>
        </w:tc>
      </w:tr>
      <w:tr w:rsidR="00C7724C" w:rsidRPr="00C7724C" w:rsidTr="00C7724C">
        <w:tc>
          <w:tcPr>
            <w:tcW w:w="10011" w:type="dxa"/>
            <w:gridSpan w:val="2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значению: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действия (как, каким образом?)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так, по-летнему, по-товарищески, весело, громко, вдвоем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и степени (сколько, в какой степени?)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очень, чересчур, втрое, вдоволь, чуть-чуть, немного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 (где, куда, откуда?)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вперед, издали, справа, вдалеке, здесь, куда-то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 (когда, как долго, с каких пор, до каких пор)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сегодня, ночью, давно, сейчас, послезавтра, всегда, тогда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(почему?)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потому, сгоряча, поневоле</w:t>
            </w:r>
          </w:p>
        </w:tc>
      </w:tr>
      <w:tr w:rsidR="00C7724C" w:rsidRPr="00C7724C" w:rsidTr="00C7724C"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 (зачем, с какой целью)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назло, нарочно, затем, назло, наперекор, специально</w:t>
            </w:r>
          </w:p>
        </w:tc>
      </w:tr>
    </w:tbl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8" w:anchor="hmenu-item-14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Наречия как средства связи предложений в тексте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В качестве сре</w:t>
      </w:r>
      <w:proofErr w:type="gramStart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дств св</w:t>
      </w:r>
      <w:proofErr w:type="gramEnd"/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язи обычно выступают наречия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времени, места,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а также </w:t>
      </w:r>
      <w:r w:rsidRPr="00C7724C">
        <w:rPr>
          <w:rFonts w:ascii="Times New Roman" w:eastAsia="Times New Roman" w:hAnsi="Times New Roman" w:cs="Times New Roman"/>
          <w:b/>
          <w:bCs/>
          <w:color w:val="1A1A1A"/>
          <w:spacing w:val="2"/>
          <w:sz w:val="20"/>
          <w:szCs w:val="20"/>
          <w:bdr w:val="none" w:sz="0" w:space="0" w:color="auto" w:frame="1"/>
          <w:lang w:eastAsia="ru-RU"/>
        </w:rPr>
        <w:t>местоименные наречия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в личных значениях. </w:t>
      </w:r>
    </w:p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Пример: Слева виднелась гора. Тонкой полосой блестела река. Зеленели небольшие рощи. Везде здесь было тихо и спокойно.  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19" w:anchor="hmenu-item-15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Вводные слова и словосочетания. Группы вводных слов </w:t>
      </w:r>
    </w:p>
    <w:p w:rsidR="00C7724C" w:rsidRPr="00C7724C" w:rsidRDefault="00C7724C" w:rsidP="00C772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обособляются запятыми </w:t>
      </w:r>
    </w:p>
    <w:p w:rsidR="00C7724C" w:rsidRPr="00C7724C" w:rsidRDefault="00C7724C" w:rsidP="00C772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не являются членами предложения </w:t>
      </w:r>
    </w:p>
    <w:p w:rsidR="00C7724C" w:rsidRPr="00C7724C" w:rsidRDefault="00C7724C" w:rsidP="00C772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к ним нельзя задать вопрос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tbl>
      <w:tblPr>
        <w:tblW w:w="10034" w:type="dxa"/>
        <w:tblCellMar>
          <w:left w:w="0" w:type="dxa"/>
          <w:right w:w="0" w:type="dxa"/>
        </w:tblCellMar>
        <w:tblLook w:val="04A0"/>
      </w:tblPr>
      <w:tblGrid>
        <w:gridCol w:w="5017"/>
        <w:gridCol w:w="5017"/>
      </w:tblGrid>
      <w:tr w:rsidR="00C7724C" w:rsidRPr="00C7724C" w:rsidTr="00C7724C"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Группы вводных слов по значению: </w:t>
            </w:r>
          </w:p>
        </w:tc>
        <w:tc>
          <w:tcPr>
            <w:tcW w:w="5000" w:type="dxa"/>
            <w:shd w:val="clear" w:color="auto" w:fill="EFEFEF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Чувства говорящего (радость, злость, сожаление и </w:t>
            </w:r>
            <w:proofErr w:type="spell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счастью, к несчастью, к ужасу, к стыду, на беду, на радость и т.д. 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Степень уверенности (предположение, возможность, неуверенность и т.д.)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Может, может быть, по-видимому, по сути, кажется, казалось бы, бесспорно, правда, надо полагать, по сути, 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безусловно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Связь мыслей, последовательность изложения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Итак, следовательно, к слову сказать, во-первых, во-вторых, с другой стороны, к примеру, главное, таким образом, кстати, значит, наоборот и т.д.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Источник сообщения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слухам, говорят, по мнению кого-либо, на мой взгляд, по-моему, по преданию, помнится, сообщают, передают и т.д.</w:t>
            </w:r>
            <w:proofErr w:type="gramEnd"/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Приемы и способы оформления мыслей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словами, иными словами, попросту сказать, мягко выражаясь, одним словом и т.д.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Призыв к собеседнику или читателю с целью привлечь внимание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Знаешь (ли), знаете (ли), пойми, извините, простите, послушайте, поверьте, согласитесь, вообразите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пожалуйста и т.д. 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Оценка меры того, о чем говорится 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крайней мере, самое большее, самое меньшее и т.д.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Степень обычности </w:t>
            </w:r>
            <w:proofErr w:type="gramStart"/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сообщаемого</w:t>
            </w:r>
            <w:proofErr w:type="gramEnd"/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обыкновению, бывает, бывало, случается и т.д. </w:t>
            </w:r>
          </w:p>
        </w:tc>
      </w:tr>
      <w:tr w:rsidR="00C7724C" w:rsidRPr="00C7724C" w:rsidTr="00C7724C"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Выражение экспрессивности высказывания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C7724C" w:rsidRPr="00C7724C" w:rsidRDefault="00C7724C" w:rsidP="00C7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Сказать по чести, честно говоря, по правде, по совести, смешно сказать и т.д.</w:t>
            </w:r>
          </w:p>
        </w:tc>
      </w:tr>
    </w:tbl>
    <w:p w:rsidR="00C7724C" w:rsidRPr="00C7724C" w:rsidRDefault="00C7724C" w:rsidP="00C772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20" w:anchor="hmenu-item-16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Средства связи, часто встречающиеся во 2 задании ЕГЭ 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21" w:anchor="hmenu-item-17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Союзы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То есть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пояснительный союз, который автор использует для уточнения сказанной ранее информации.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Но, зато, однако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противительные союзы, которые используются для противопоставления.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Потому что, так как, поскольку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используются, чтобы указать на причину того, о чем говорится в предыдущих предложениях.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Так что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используются перед выводом рассуждений.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hyperlink r:id="rId22" w:anchor="hmenu-item-18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Частицы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Даже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частица вносит значение уточнения и подчеркивает важность мысли.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Ведь, именно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эти частицы вносят значение усиления. </w:t>
      </w:r>
    </w:p>
    <w:p w:rsidR="00C7724C" w:rsidRPr="00C7724C" w:rsidRDefault="00C7724C" w:rsidP="00C7724C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</w:pPr>
      <w:hyperlink r:id="rId23" w:anchor="hmenu-item-19" w:tooltip="К меню" w:history="1">
        <w:r w:rsidRPr="00C7724C">
          <w:rPr>
            <w:rFonts w:ascii="Times New Roman" w:eastAsia="Times New Roman" w:hAnsi="Times New Roman" w:cs="Times New Roman"/>
            <w:b/>
            <w:bCs/>
            <w:color w:val="0089FF"/>
            <w:spacing w:val="-2"/>
            <w:sz w:val="20"/>
            <w:szCs w:val="20"/>
            <w:u w:val="single"/>
            <w:lang w:eastAsia="ru-RU"/>
          </w:rPr>
          <w:t>↑</w:t>
        </w:r>
      </w:hyperlink>
      <w:r w:rsidRPr="00C7724C">
        <w:rPr>
          <w:rFonts w:ascii="Times New Roman" w:eastAsia="Times New Roman" w:hAnsi="Times New Roman" w:cs="Times New Roman"/>
          <w:b/>
          <w:bCs/>
          <w:color w:val="0A3A52"/>
          <w:spacing w:val="-2"/>
          <w:sz w:val="20"/>
          <w:szCs w:val="20"/>
          <w:lang w:eastAsia="ru-RU"/>
        </w:rPr>
        <w:t> Вводные слова и конструкции </w:t>
      </w:r>
    </w:p>
    <w:p w:rsidR="00C7724C" w:rsidRPr="00C7724C" w:rsidRDefault="00C7724C" w:rsidP="00C77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Кроме того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конструкция используется, когда автор хочет дополнить ранее высказанную мысль.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Другими словами, иными словами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конструкция используется, если автор хочет сказать уже высказанную мысль иначе (более понятно).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Итак, таким образом, следовательно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автор использует данные вводные слова для подведения итога рассуждениям.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Конечно, разумеется, безусловно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указывают на степень уверенности в сказанных словах.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Например, так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вводные слова, которые используются для пояснения мысли.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Наоборот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вводное слово, употребляющееся для противопоставления одного предложения другому. 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C7724C">
        <w:rPr>
          <w:rFonts w:ascii="Times New Roman" w:eastAsia="Times New Roman" w:hAnsi="Times New Roman" w:cs="Times New Roman"/>
          <w:b/>
          <w:bCs/>
          <w:color w:val="B8312F"/>
          <w:spacing w:val="2"/>
          <w:sz w:val="20"/>
          <w:szCs w:val="20"/>
          <w:bdr w:val="none" w:sz="0" w:space="0" w:color="auto" w:frame="1"/>
          <w:lang w:eastAsia="ru-RU"/>
        </w:rPr>
        <w:t>Во-первых, во-вторых, с одной стороны</w:t>
      </w:r>
      <w:r w:rsidRPr="00C7724C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t> – автор указывает порядок следования мыслей.  </w:t>
      </w:r>
    </w:p>
    <w:p w:rsidR="0069537F" w:rsidRPr="00C7724C" w:rsidRDefault="0069537F">
      <w:pPr>
        <w:rPr>
          <w:rFonts w:ascii="Times New Roman" w:hAnsi="Times New Roman" w:cs="Times New Roman"/>
          <w:sz w:val="20"/>
          <w:szCs w:val="20"/>
        </w:rPr>
      </w:pPr>
    </w:p>
    <w:sectPr w:rsidR="0069537F" w:rsidRPr="00C7724C" w:rsidSect="00C7724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27"/>
    <w:multiLevelType w:val="multilevel"/>
    <w:tmpl w:val="E944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332FC"/>
    <w:multiLevelType w:val="multilevel"/>
    <w:tmpl w:val="50D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11E41"/>
    <w:multiLevelType w:val="multilevel"/>
    <w:tmpl w:val="A0CE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73681"/>
    <w:multiLevelType w:val="multilevel"/>
    <w:tmpl w:val="768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61D86"/>
    <w:multiLevelType w:val="multilevel"/>
    <w:tmpl w:val="879C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24C"/>
    <w:rsid w:val="00430EC2"/>
    <w:rsid w:val="0069537F"/>
    <w:rsid w:val="006B1C15"/>
    <w:rsid w:val="00705789"/>
    <w:rsid w:val="00B9098F"/>
    <w:rsid w:val="00C7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F"/>
  </w:style>
  <w:style w:type="paragraph" w:styleId="1">
    <w:name w:val="heading 1"/>
    <w:basedOn w:val="a"/>
    <w:link w:val="10"/>
    <w:uiPriority w:val="9"/>
    <w:qFormat/>
    <w:rsid w:val="00C7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2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C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74">
          <w:marLeft w:val="58"/>
          <w:marRight w:val="58"/>
          <w:marTop w:val="173"/>
          <w:marBottom w:val="230"/>
          <w:divBdr>
            <w:top w:val="single" w:sz="4" w:space="9" w:color="A2A9B1"/>
            <w:left w:val="single" w:sz="4" w:space="3" w:color="A2A9B1"/>
            <w:bottom w:val="single" w:sz="4" w:space="6" w:color="A2A9B1"/>
            <w:right w:val="single" w:sz="4" w:space="12" w:color="A2A9B1"/>
          </w:divBdr>
        </w:div>
        <w:div w:id="109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486">
              <w:marLeft w:val="0"/>
              <w:marRight w:val="0"/>
              <w:marTop w:val="0"/>
              <w:marBottom w:val="288"/>
              <w:divBdr>
                <w:top w:val="single" w:sz="4" w:space="12" w:color="BCE8F1"/>
                <w:left w:val="single" w:sz="4" w:space="14" w:color="BCE8F1"/>
                <w:bottom w:val="single" w:sz="4" w:space="12" w:color="BCE8F1"/>
                <w:right w:val="single" w:sz="4" w:space="14" w:color="BCE8F1"/>
              </w:divBdr>
            </w:div>
            <w:div w:id="1317761518">
              <w:marLeft w:val="0"/>
              <w:marRight w:val="0"/>
              <w:marTop w:val="0"/>
              <w:marBottom w:val="288"/>
              <w:divBdr>
                <w:top w:val="single" w:sz="4" w:space="12" w:color="BCE8F1"/>
                <w:left w:val="single" w:sz="4" w:space="14" w:color="BCE8F1"/>
                <w:bottom w:val="single" w:sz="4" w:space="12" w:color="BCE8F1"/>
                <w:right w:val="single" w:sz="4" w:space="14" w:color="BCE8F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36-zadanie-2.html" TargetMode="External"/><Relationship Id="rId13" Type="http://schemas.openxmlformats.org/officeDocument/2006/relationships/hyperlink" Target="https://rustutors.ru/egeteoriya/1136-zadanie-2.html" TargetMode="External"/><Relationship Id="rId18" Type="http://schemas.openxmlformats.org/officeDocument/2006/relationships/hyperlink" Target="https://rustutors.ru/egeteoriya/1136-zadanie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tutors.ru/egeteoriya/1136-zadanie-2.html" TargetMode="External"/><Relationship Id="rId7" Type="http://schemas.openxmlformats.org/officeDocument/2006/relationships/hyperlink" Target="https://rustutors.ru/egeteoriya/1136-zadanie-2.html" TargetMode="External"/><Relationship Id="rId12" Type="http://schemas.openxmlformats.org/officeDocument/2006/relationships/hyperlink" Target="https://rustutors.ru/egeteoriya/1136-zadanie-2.html" TargetMode="External"/><Relationship Id="rId17" Type="http://schemas.openxmlformats.org/officeDocument/2006/relationships/hyperlink" Target="https://rustutors.ru/egeteoriya/1136-zadanie-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136-zadanie-2.html" TargetMode="External"/><Relationship Id="rId20" Type="http://schemas.openxmlformats.org/officeDocument/2006/relationships/hyperlink" Target="https://rustutors.ru/egeteoriya/1136-zadanie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1136-zadanie-2.html" TargetMode="External"/><Relationship Id="rId11" Type="http://schemas.openxmlformats.org/officeDocument/2006/relationships/hyperlink" Target="https://rustutors.ru/egeteoriya/1136-zadanie-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stutors.ru/egeteoriya/1136-zadanie-2.html" TargetMode="External"/><Relationship Id="rId15" Type="http://schemas.openxmlformats.org/officeDocument/2006/relationships/hyperlink" Target="https://rustutors.ru/egeteoriya/1136-zadanie-2.html" TargetMode="External"/><Relationship Id="rId23" Type="http://schemas.openxmlformats.org/officeDocument/2006/relationships/hyperlink" Target="https://rustutors.ru/egeteoriya/1136-zadanie-2.html" TargetMode="External"/><Relationship Id="rId10" Type="http://schemas.openxmlformats.org/officeDocument/2006/relationships/hyperlink" Target="https://rustutors.ru/egeteoriya/1136-zadanie-2.html" TargetMode="External"/><Relationship Id="rId19" Type="http://schemas.openxmlformats.org/officeDocument/2006/relationships/hyperlink" Target="https://rustutors.ru/egeteoriya/1136-zadanie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36-zadanie-2.html" TargetMode="External"/><Relationship Id="rId14" Type="http://schemas.openxmlformats.org/officeDocument/2006/relationships/hyperlink" Target="https://rustutors.ru/egeteoriya/1136-zadanie-2.html" TargetMode="External"/><Relationship Id="rId22" Type="http://schemas.openxmlformats.org/officeDocument/2006/relationships/hyperlink" Target="https://rustutors.ru/egeteoriya/1136-zadanie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2531</Words>
  <Characters>14432</Characters>
  <Application>Microsoft Office Word</Application>
  <DocSecurity>0</DocSecurity>
  <Lines>120</Lines>
  <Paragraphs>33</Paragraphs>
  <ScaleCrop>false</ScaleCrop>
  <Company>Hewlett-Packard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2020-11-24T03:57:00Z</dcterms:created>
  <dcterms:modified xsi:type="dcterms:W3CDTF">2020-11-24T04:05:00Z</dcterms:modified>
</cp:coreProperties>
</file>